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8088" w14:textId="0A774D50" w:rsidR="000B3BB9" w:rsidRPr="003B5A28" w:rsidRDefault="000B3BB9" w:rsidP="000B3BB9">
      <w:pPr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3B5A28">
        <w:rPr>
          <w:rFonts w:ascii="Cambria" w:eastAsia="Times New Roman" w:hAnsi="Cambria" w:cs="Arial"/>
          <w:b/>
          <w:bCs/>
          <w:color w:val="000000" w:themeColor="text1"/>
          <w:kern w:val="36"/>
          <w:sz w:val="24"/>
          <w:szCs w:val="24"/>
        </w:rPr>
        <w:t>Indication and Usage</w:t>
      </w:r>
    </w:p>
    <w:p w14:paraId="03845D7D" w14:textId="4DF03BF6" w:rsidR="000B3BB9" w:rsidRPr="005F4408" w:rsidRDefault="00F56D8A" w:rsidP="00312468">
      <w:pPr>
        <w:shd w:val="clear" w:color="auto" w:fill="FFFFFF"/>
        <w:spacing w:after="100" w:afterAutospacing="1" w:line="360" w:lineRule="atLeast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</w:rPr>
        <w:t>S</w:t>
      </w:r>
      <w:r w:rsidR="000B3BB9"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>emaglutid</w:t>
      </w:r>
      <w:r w:rsidR="006114E7">
        <w:rPr>
          <w:rFonts w:ascii="Cambria" w:eastAsia="Times New Roman" w:hAnsi="Cambria" w:cs="Arial"/>
          <w:color w:val="000000" w:themeColor="text1"/>
          <w:sz w:val="24"/>
          <w:szCs w:val="24"/>
        </w:rPr>
        <w:t>e</w:t>
      </w:r>
      <w:r w:rsidR="000B3BB9"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injection indicated as an adjunct to a reduced calorie diet and increased physical activity for chronic weight management in adults with an initial body mass index (BMI) of ≥30 kg/m</w:t>
      </w:r>
      <w:r w:rsidR="000B3BB9" w:rsidRPr="000B3BB9">
        <w:rPr>
          <w:rFonts w:ascii="Cambria" w:eastAsia="Times New Roman" w:hAnsi="Cambria" w:cs="Arial"/>
          <w:color w:val="000000" w:themeColor="text1"/>
          <w:sz w:val="24"/>
          <w:szCs w:val="24"/>
          <w:vertAlign w:val="superscript"/>
        </w:rPr>
        <w:t>2</w:t>
      </w:r>
      <w:r w:rsidR="000B3BB9"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> (obesity) or ≥27 kg/m</w:t>
      </w:r>
      <w:r w:rsidR="000B3BB9" w:rsidRPr="000B3BB9">
        <w:rPr>
          <w:rFonts w:ascii="Cambria" w:eastAsia="Times New Roman" w:hAnsi="Cambria" w:cs="Arial"/>
          <w:color w:val="000000" w:themeColor="text1"/>
          <w:sz w:val="24"/>
          <w:szCs w:val="24"/>
          <w:vertAlign w:val="superscript"/>
        </w:rPr>
        <w:t>2</w:t>
      </w:r>
      <w:r w:rsidR="000B3BB9"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> (overweight) in the presence of at least one weight-related comorbid condition (e.g., hypertension, type 2 diabetes mellitus, or dyslipidemia).</w:t>
      </w:r>
      <w:bookmarkStart w:id="0" w:name="Wegovy-HCP-limitations-of-use"/>
      <w:bookmarkEnd w:id="0"/>
      <w:r w:rsidR="003B5A2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 </w:t>
      </w:r>
      <w:r w:rsidR="005F654F">
        <w:rPr>
          <w:rFonts w:ascii="Cambria" w:eastAsia="Times New Roman" w:hAnsi="Cambria" w:cs="Arial"/>
          <w:color w:val="000000" w:themeColor="text1"/>
          <w:sz w:val="24"/>
          <w:szCs w:val="24"/>
        </w:rPr>
        <w:t>Our</w:t>
      </w:r>
      <w:r w:rsidR="003B5A2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Semaglutide </w:t>
      </w:r>
      <w:r w:rsidR="005F654F">
        <w:rPr>
          <w:rFonts w:ascii="Cambria" w:eastAsia="Times New Roman" w:hAnsi="Cambria" w:cs="Arial"/>
          <w:color w:val="000000" w:themeColor="text1"/>
          <w:sz w:val="24"/>
          <w:szCs w:val="24"/>
        </w:rPr>
        <w:t>is</w:t>
      </w:r>
      <w:r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r w:rsidR="003B5A28">
        <w:rPr>
          <w:rFonts w:ascii="Cambria" w:eastAsia="Times New Roman" w:hAnsi="Cambria" w:cs="Arial"/>
          <w:color w:val="000000" w:themeColor="text1"/>
          <w:sz w:val="24"/>
          <w:szCs w:val="24"/>
        </w:rPr>
        <w:t>compounded</w:t>
      </w:r>
      <w:r w:rsidR="0058563A">
        <w:rPr>
          <w:rFonts w:ascii="Cambria" w:eastAsia="Times New Roman" w:hAnsi="Cambria" w:cs="Arial"/>
          <w:color w:val="000000" w:themeColor="text1"/>
          <w:sz w:val="24"/>
          <w:szCs w:val="24"/>
        </w:rPr>
        <w:t>. Compounded</w:t>
      </w:r>
      <w:r w:rsidR="0058563A" w:rsidRPr="0058563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Semaglutide</w:t>
      </w:r>
      <w:r w:rsidR="0058563A" w:rsidRPr="0058563A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is </w:t>
      </w:r>
      <w:r w:rsidR="005F654F" w:rsidRPr="0058563A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not</w:t>
      </w:r>
      <w:r w:rsidR="005F654F" w:rsidRPr="005F654F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FDA approved</w:t>
      </w:r>
      <w:r w:rsidR="0058563A">
        <w:rPr>
          <w:rFonts w:ascii="Cambria" w:eastAsia="Times New Roman" w:hAnsi="Cambria" w:cs="Arial"/>
          <w:color w:val="000000" w:themeColor="text1"/>
          <w:sz w:val="24"/>
          <w:szCs w:val="24"/>
        </w:rPr>
        <w:t>.</w:t>
      </w:r>
      <w:r w:rsidR="005F654F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</w:t>
      </w:r>
      <w:r w:rsidR="005F654F" w:rsidRPr="005F654F">
        <w:rPr>
          <w:rFonts w:ascii="Cambria" w:eastAsia="Times New Roman" w:hAnsi="Cambria" w:cs="Arial"/>
          <w:color w:val="000000" w:themeColor="text1"/>
          <w:sz w:val="24"/>
          <w:szCs w:val="24"/>
        </w:rPr>
        <w:t>(FDA has no way of monitoring compounding medications)</w:t>
      </w:r>
      <w:r w:rsidR="005F654F">
        <w:rPr>
          <w:rFonts w:ascii="Cambria" w:eastAsia="Times New Roman" w:hAnsi="Cambria" w:cs="Arial"/>
          <w:color w:val="000000" w:themeColor="text1"/>
          <w:sz w:val="24"/>
          <w:szCs w:val="24"/>
        </w:rPr>
        <w:t>.</w:t>
      </w:r>
    </w:p>
    <w:p w14:paraId="1473950E" w14:textId="08032BE7" w:rsidR="000B3BB9" w:rsidRPr="000B3BB9" w:rsidRDefault="000B3BB9" w:rsidP="000B3BB9">
      <w:pPr>
        <w:shd w:val="clear" w:color="auto" w:fill="FFFFFF"/>
        <w:spacing w:before="100" w:beforeAutospacing="1" w:after="100" w:afterAutospacing="1" w:line="360" w:lineRule="atLeast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>L</w:t>
      </w:r>
      <w:r w:rsidRPr="000B3BB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imitations of Use</w:t>
      </w:r>
    </w:p>
    <w:p w14:paraId="3129E94B" w14:textId="4528D9D8" w:rsidR="000B3BB9" w:rsidRPr="000B3BB9" w:rsidRDefault="006114E7" w:rsidP="000B3BB9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114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Semaglutide </w:t>
      </w:r>
      <w:r w:rsidR="000B3BB9"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>should not be co</w:t>
      </w:r>
      <w:r w:rsidR="000B3BB9">
        <w:rPr>
          <w:rFonts w:ascii="Cambria" w:eastAsia="Times New Roman" w:hAnsi="Cambria" w:cs="Arial"/>
          <w:color w:val="000000" w:themeColor="text1"/>
          <w:sz w:val="24"/>
          <w:szCs w:val="24"/>
        </w:rPr>
        <w:t>-</w:t>
      </w:r>
      <w:r w:rsidR="000B3BB9"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>administered with other semaglutide-containing products or with any GLP-1 receptor agonist</w:t>
      </w:r>
      <w:r w:rsidR="0058563A">
        <w:rPr>
          <w:rFonts w:ascii="Cambria" w:eastAsia="Times New Roman" w:hAnsi="Cambria" w:cs="Arial"/>
          <w:color w:val="000000" w:themeColor="text1"/>
          <w:sz w:val="24"/>
          <w:szCs w:val="24"/>
        </w:rPr>
        <w:t>.</w:t>
      </w:r>
    </w:p>
    <w:p w14:paraId="2FE7A65B" w14:textId="769ECCEF" w:rsidR="000B3BB9" w:rsidRPr="000B3BB9" w:rsidRDefault="000B3BB9" w:rsidP="000B3BB9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114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The safety and effectiveness of </w:t>
      </w:r>
      <w:r w:rsidR="006114E7">
        <w:rPr>
          <w:rFonts w:ascii="Cambria" w:eastAsia="Times New Roman" w:hAnsi="Cambria" w:cs="Arial"/>
          <w:color w:val="000000" w:themeColor="text1"/>
          <w:sz w:val="24"/>
          <w:szCs w:val="24"/>
        </w:rPr>
        <w:t>Semaglutide</w:t>
      </w:r>
      <w:r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in combination with other products intended for weight loss, including prescription drugs, over-the-counter drugs, and herbal preparations, have not been </w:t>
      </w:r>
      <w:r w:rsidR="0058563A"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>established.</w:t>
      </w:r>
    </w:p>
    <w:p w14:paraId="7221038F" w14:textId="4B3A1866" w:rsidR="007D1224" w:rsidRPr="007D1224" w:rsidRDefault="006114E7" w:rsidP="007D122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114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</w:rPr>
        <w:t>Semaglutide</w:t>
      </w:r>
      <w:r w:rsidR="000B3BB9"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has not been studied in patients with a history of pancreatitis</w:t>
      </w:r>
      <w:r w:rsidR="0058563A">
        <w:rPr>
          <w:rFonts w:ascii="Cambria" w:eastAsia="Times New Roman" w:hAnsi="Cambria" w:cs="Arial"/>
          <w:color w:val="000000" w:themeColor="text1"/>
          <w:sz w:val="24"/>
          <w:szCs w:val="24"/>
        </w:rPr>
        <w:t>.</w:t>
      </w:r>
    </w:p>
    <w:p w14:paraId="663A92C2" w14:textId="5C98EF4B" w:rsidR="008E1096" w:rsidRPr="007D1224" w:rsidRDefault="000B3BB9" w:rsidP="007D1224">
      <w:pPr>
        <w:shd w:val="clear" w:color="auto" w:fill="FFFFFF"/>
        <w:spacing w:before="100" w:beforeAutospacing="1" w:after="0" w:line="360" w:lineRule="atLeast"/>
        <w:ind w:left="78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0B3BB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Contraindications</w:t>
      </w:r>
    </w:p>
    <w:p w14:paraId="1BBA1D24" w14:textId="433A1053" w:rsidR="000B3BB9" w:rsidRPr="000B3BB9" w:rsidRDefault="006114E7" w:rsidP="007D1224">
      <w:pPr>
        <w:shd w:val="clear" w:color="auto" w:fill="FFFFFF"/>
        <w:spacing w:after="0" w:line="360" w:lineRule="atLeast"/>
        <w:outlineLvl w:val="1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Semaglutide </w:t>
      </w:r>
      <w:r w:rsidR="000B3BB9"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is contraindicated in patients with a personal or family history of MTC </w:t>
      </w:r>
      <w:r w:rsidR="003B5A28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(Medullary thyroid cancer) </w:t>
      </w:r>
      <w:r w:rsidR="000B3BB9"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or in patients with MEN 2, and in patients with a prior serious hypersensitivity reaction to </w:t>
      </w:r>
      <w:r w:rsidR="00F56D8A">
        <w:rPr>
          <w:rFonts w:ascii="Cambria" w:eastAsia="Times New Roman" w:hAnsi="Cambria" w:cs="Arial"/>
          <w:color w:val="000000" w:themeColor="text1"/>
          <w:sz w:val="24"/>
          <w:szCs w:val="24"/>
        </w:rPr>
        <w:t>S</w:t>
      </w:r>
      <w:r w:rsidR="00F56D8A"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>emaglutide</w:t>
      </w:r>
      <w:r w:rsidR="005F654F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and history of Pancreatitis due to Semaglutide in the past, </w:t>
      </w:r>
      <w:r w:rsidR="000B3BB9"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>Serious hypersensitivity reactions, including anaphylaxis and angioedema have been reported with semaglutide</w:t>
      </w:r>
      <w:r w:rsidR="007D1224">
        <w:rPr>
          <w:rFonts w:ascii="Cambria" w:eastAsia="Times New Roman" w:hAnsi="Cambria" w:cs="Arial"/>
          <w:color w:val="000000" w:themeColor="text1"/>
          <w:sz w:val="24"/>
          <w:szCs w:val="24"/>
        </w:rPr>
        <w:t>.</w:t>
      </w:r>
    </w:p>
    <w:p w14:paraId="06470728" w14:textId="2883572A" w:rsidR="005F654F" w:rsidRDefault="000B3BB9" w:rsidP="000B3BB9">
      <w:pPr>
        <w:shd w:val="clear" w:color="auto" w:fill="FFFFFF"/>
        <w:spacing w:before="450" w:after="225" w:line="360" w:lineRule="atLeast"/>
        <w:outlineLvl w:val="1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bookmarkStart w:id="1" w:name="Wegovy-HCP-warnings-and-precautions"/>
      <w:bookmarkEnd w:id="1"/>
      <w:r w:rsidRPr="000B3BB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Warnings and Precautions</w:t>
      </w:r>
      <w:r w:rsidR="005F654F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/side effects</w:t>
      </w:r>
      <w:r w:rsidR="0058563A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are including but</w:t>
      </w:r>
      <w:r w:rsidR="005F654F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not limited to:</w:t>
      </w:r>
    </w:p>
    <w:p w14:paraId="7C1E158C" w14:textId="32C16D65" w:rsidR="005F654F" w:rsidRPr="005F654F" w:rsidRDefault="005F654F" w:rsidP="005F654F">
      <w:pPr>
        <w:numPr>
          <w:ilvl w:val="0"/>
          <w:numId w:val="3"/>
        </w:numPr>
        <w:shd w:val="clear" w:color="auto" w:fill="FFFFFF"/>
        <w:spacing w:after="0" w:line="276" w:lineRule="auto"/>
        <w:ind w:left="114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F56D8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Acute Pancreatitis  </w:t>
      </w:r>
    </w:p>
    <w:p w14:paraId="16118819" w14:textId="6DBBA0CE" w:rsidR="000B3BB9" w:rsidRPr="005F654F" w:rsidRDefault="000B3BB9" w:rsidP="005F654F">
      <w:pPr>
        <w:numPr>
          <w:ilvl w:val="0"/>
          <w:numId w:val="3"/>
        </w:numPr>
        <w:shd w:val="clear" w:color="auto" w:fill="FFFFFF"/>
        <w:spacing w:after="0" w:line="276" w:lineRule="auto"/>
        <w:ind w:left="114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F56D8A">
        <w:rPr>
          <w:rFonts w:ascii="Cambria" w:eastAsia="Times New Roman" w:hAnsi="Cambria" w:cs="Arial"/>
          <w:color w:val="000000" w:themeColor="text1"/>
          <w:sz w:val="24"/>
          <w:szCs w:val="24"/>
        </w:rPr>
        <w:t>Risk of Thyroid C-Cell Tumors</w:t>
      </w:r>
      <w:r w:rsidR="00C41B88">
        <w:rPr>
          <w:rFonts w:ascii="Cambria" w:eastAsia="Times New Roman" w:hAnsi="Cambria" w:cs="Arial"/>
          <w:color w:val="000000" w:themeColor="text1"/>
          <w:sz w:val="24"/>
          <w:szCs w:val="24"/>
        </w:rPr>
        <w:t>/cancer</w:t>
      </w:r>
      <w:r w:rsidRPr="00F56D8A">
        <w:rPr>
          <w:rFonts w:ascii="Cambria" w:eastAsia="Times New Roman" w:hAnsi="Cambria" w:cs="Arial"/>
          <w:color w:val="000000" w:themeColor="text1"/>
          <w:sz w:val="24"/>
          <w:szCs w:val="24"/>
        </w:rPr>
        <w:t> </w:t>
      </w:r>
      <w:r w:rsidRPr="005F654F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</w:p>
    <w:p w14:paraId="399EED71" w14:textId="35BC8A52" w:rsidR="000B3BB9" w:rsidRPr="00F56D8A" w:rsidRDefault="000B3BB9" w:rsidP="005F654F">
      <w:pPr>
        <w:numPr>
          <w:ilvl w:val="0"/>
          <w:numId w:val="3"/>
        </w:numPr>
        <w:shd w:val="clear" w:color="auto" w:fill="FFFFFF"/>
        <w:spacing w:after="0" w:line="276" w:lineRule="auto"/>
        <w:ind w:left="114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F56D8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Acute Gallbladder Disease </w:t>
      </w:r>
    </w:p>
    <w:p w14:paraId="2107D108" w14:textId="0F21444C" w:rsidR="000B3BB9" w:rsidRPr="00F56D8A" w:rsidRDefault="000B3BB9" w:rsidP="005F654F">
      <w:pPr>
        <w:numPr>
          <w:ilvl w:val="0"/>
          <w:numId w:val="3"/>
        </w:numPr>
        <w:shd w:val="clear" w:color="auto" w:fill="FFFFFF"/>
        <w:spacing w:after="0" w:line="276" w:lineRule="auto"/>
        <w:ind w:left="114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F56D8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Hypoglycemia </w:t>
      </w:r>
    </w:p>
    <w:p w14:paraId="43EAF699" w14:textId="0964DDE1" w:rsidR="000B3BB9" w:rsidRPr="00F56D8A" w:rsidRDefault="000B3BB9" w:rsidP="005F654F">
      <w:pPr>
        <w:numPr>
          <w:ilvl w:val="0"/>
          <w:numId w:val="3"/>
        </w:numPr>
        <w:shd w:val="clear" w:color="auto" w:fill="FFFFFF"/>
        <w:spacing w:after="0" w:line="276" w:lineRule="auto"/>
        <w:ind w:left="114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F56D8A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Acute Kidney </w:t>
      </w:r>
    </w:p>
    <w:p w14:paraId="16E9662B" w14:textId="77777777" w:rsidR="008E1096" w:rsidRPr="00F56D8A" w:rsidRDefault="000B3BB9" w:rsidP="005F654F">
      <w:pPr>
        <w:numPr>
          <w:ilvl w:val="0"/>
          <w:numId w:val="3"/>
        </w:numPr>
        <w:shd w:val="clear" w:color="auto" w:fill="FFFFFF"/>
        <w:spacing w:after="0" w:line="276" w:lineRule="auto"/>
        <w:ind w:left="114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F56D8A">
        <w:rPr>
          <w:rFonts w:ascii="Cambria" w:eastAsia="Times New Roman" w:hAnsi="Cambria" w:cs="Arial"/>
          <w:color w:val="000000" w:themeColor="text1"/>
          <w:sz w:val="24"/>
          <w:szCs w:val="24"/>
        </w:rPr>
        <w:t>Hypersensitivity</w:t>
      </w:r>
    </w:p>
    <w:p w14:paraId="1CA8476F" w14:textId="5FC8015E" w:rsidR="000B3BB9" w:rsidRPr="00F56D8A" w:rsidRDefault="000B3BB9" w:rsidP="005F654F">
      <w:pPr>
        <w:numPr>
          <w:ilvl w:val="0"/>
          <w:numId w:val="3"/>
        </w:numPr>
        <w:shd w:val="clear" w:color="auto" w:fill="FFFFFF"/>
        <w:spacing w:after="0" w:line="276" w:lineRule="auto"/>
        <w:ind w:left="114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F56D8A">
        <w:rPr>
          <w:rFonts w:ascii="Cambria" w:eastAsia="Times New Roman" w:hAnsi="Cambria" w:cs="Arial"/>
          <w:color w:val="000000" w:themeColor="text1"/>
          <w:sz w:val="24"/>
          <w:szCs w:val="24"/>
        </w:rPr>
        <w:t>Diabetic Retinopathy Complications in Patients with Type 2 Diabetes</w:t>
      </w:r>
    </w:p>
    <w:p w14:paraId="7EC92BD0" w14:textId="117BC4C8" w:rsidR="000B3BB9" w:rsidRPr="00F56D8A" w:rsidRDefault="000B3BB9" w:rsidP="005F654F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114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F56D8A">
        <w:rPr>
          <w:rFonts w:ascii="Cambria" w:eastAsia="Times New Roman" w:hAnsi="Cambria" w:cs="Arial"/>
          <w:color w:val="000000" w:themeColor="text1"/>
          <w:sz w:val="24"/>
          <w:szCs w:val="24"/>
        </w:rPr>
        <w:t>Heart Rate Increase</w:t>
      </w:r>
    </w:p>
    <w:p w14:paraId="30114E42" w14:textId="77777777" w:rsidR="008E1096" w:rsidRPr="00F56D8A" w:rsidRDefault="000B3BB9" w:rsidP="005F654F">
      <w:pPr>
        <w:numPr>
          <w:ilvl w:val="0"/>
          <w:numId w:val="3"/>
        </w:numPr>
        <w:shd w:val="clear" w:color="auto" w:fill="FFFFFF"/>
        <w:spacing w:after="0" w:line="276" w:lineRule="auto"/>
        <w:ind w:left="1140"/>
        <w:outlineLvl w:val="1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F56D8A">
        <w:rPr>
          <w:rFonts w:ascii="Cambria" w:eastAsia="Times New Roman" w:hAnsi="Cambria" w:cs="Arial"/>
          <w:color w:val="000000" w:themeColor="text1"/>
          <w:sz w:val="24"/>
          <w:szCs w:val="24"/>
        </w:rPr>
        <w:t>Suicidal Behavior and Ideation</w:t>
      </w:r>
      <w:bookmarkStart w:id="2" w:name="Wegovy-HCP-adverse-reactions"/>
      <w:bookmarkEnd w:id="2"/>
    </w:p>
    <w:p w14:paraId="288A02AD" w14:textId="491BF0BB" w:rsidR="00312468" w:rsidRDefault="00312468" w:rsidP="005F654F">
      <w:pPr>
        <w:shd w:val="clear" w:color="auto" w:fill="FFFFFF"/>
        <w:spacing w:after="0" w:line="276" w:lineRule="auto"/>
        <w:outlineLvl w:val="1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</w:p>
    <w:p w14:paraId="4FEF1C96" w14:textId="26A34D34" w:rsidR="00312468" w:rsidRDefault="00312468" w:rsidP="00312468">
      <w:pPr>
        <w:shd w:val="clear" w:color="auto" w:fill="FFFFFF"/>
        <w:spacing w:after="0" w:line="360" w:lineRule="atLeast"/>
        <w:jc w:val="right"/>
        <w:outlineLvl w:val="1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Patient Initial __________</w:t>
      </w:r>
    </w:p>
    <w:p w14:paraId="0749EAB4" w14:textId="3B91DB24" w:rsidR="008E1096" w:rsidRDefault="000B3BB9" w:rsidP="008E1096">
      <w:pPr>
        <w:shd w:val="clear" w:color="auto" w:fill="FFFFFF"/>
        <w:spacing w:after="0" w:line="360" w:lineRule="atLeast"/>
        <w:outlineLvl w:val="1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 w:rsidRPr="000B3BB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lastRenderedPageBreak/>
        <w:t>Adverse Reactions</w:t>
      </w:r>
    </w:p>
    <w:p w14:paraId="7B86F547" w14:textId="3CF09427" w:rsidR="000B3BB9" w:rsidRPr="000B3BB9" w:rsidRDefault="000B3BB9" w:rsidP="007D1224">
      <w:pPr>
        <w:numPr>
          <w:ilvl w:val="0"/>
          <w:numId w:val="3"/>
        </w:numPr>
        <w:shd w:val="clear" w:color="auto" w:fill="FFFFFF"/>
        <w:spacing w:before="450" w:beforeAutospacing="1" w:after="0" w:line="360" w:lineRule="atLeast"/>
        <w:ind w:left="1140"/>
        <w:outlineLvl w:val="1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The most common adverse reactions reported in ≥5% of patients treated with </w:t>
      </w:r>
      <w:r w:rsidR="006114E7">
        <w:rPr>
          <w:rFonts w:ascii="Cambria" w:eastAsia="Times New Roman" w:hAnsi="Cambria" w:cs="Arial"/>
          <w:color w:val="000000" w:themeColor="text1"/>
          <w:sz w:val="24"/>
          <w:szCs w:val="24"/>
        </w:rPr>
        <w:t>Semaglutide</w:t>
      </w:r>
      <w:r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are nausea, diarrhea, vomiting, constipation, abdominal pain, headache, fatigue, dyspepsia, dizziness, abdominal distention, eructation, hypoglycemia in patients with type 2 diabetes, flatulence, gastroenteritis, and gastroesophageal reflux </w:t>
      </w:r>
      <w:r w:rsidR="0058563A"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>disease.</w:t>
      </w:r>
    </w:p>
    <w:p w14:paraId="037CA633" w14:textId="371929B9" w:rsidR="000B3BB9" w:rsidRPr="000B3BB9" w:rsidRDefault="000B3BB9" w:rsidP="007D1224">
      <w:pPr>
        <w:shd w:val="clear" w:color="auto" w:fill="FFFFFF"/>
        <w:spacing w:before="450" w:after="0" w:line="360" w:lineRule="atLeast"/>
        <w:outlineLvl w:val="1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bookmarkStart w:id="3" w:name="Wegovy-HCP-drug-interactions"/>
      <w:bookmarkEnd w:id="3"/>
      <w:r w:rsidRPr="000B3BB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Drug Interaction</w:t>
      </w:r>
      <w:r w:rsidR="0058563A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s</w:t>
      </w:r>
    </w:p>
    <w:p w14:paraId="60009A50" w14:textId="35589BF9" w:rsidR="000B3BB9" w:rsidRPr="000B3BB9" w:rsidRDefault="000B3BB9" w:rsidP="0058563A">
      <w:pPr>
        <w:numPr>
          <w:ilvl w:val="0"/>
          <w:numId w:val="5"/>
        </w:numPr>
        <w:shd w:val="clear" w:color="auto" w:fill="FFFFFF"/>
        <w:spacing w:after="240" w:line="360" w:lineRule="atLeast"/>
        <w:ind w:left="114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The addition of </w:t>
      </w:r>
      <w:r w:rsidR="006114E7">
        <w:rPr>
          <w:rFonts w:ascii="Cambria" w:eastAsia="Times New Roman" w:hAnsi="Cambria" w:cs="Arial"/>
          <w:color w:val="000000" w:themeColor="text1"/>
          <w:sz w:val="24"/>
          <w:szCs w:val="24"/>
        </w:rPr>
        <w:t>semaglutide</w:t>
      </w:r>
      <w:r w:rsidRPr="000B3BB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 </w:t>
      </w:r>
      <w:r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in patients treated with insulin has not been evaluated. When initiating </w:t>
      </w:r>
      <w:r w:rsidR="006114E7">
        <w:rPr>
          <w:rFonts w:ascii="Cambria" w:eastAsia="Times New Roman" w:hAnsi="Cambria" w:cs="Arial"/>
          <w:color w:val="000000" w:themeColor="text1"/>
          <w:sz w:val="24"/>
          <w:szCs w:val="24"/>
        </w:rPr>
        <w:t>Semaglutide</w:t>
      </w:r>
      <w:r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, consider reducing the dose of concomitantly administered insulin secretagogues (such as sulfonylureas) or insulin to reduce the risk of </w:t>
      </w:r>
      <w:r w:rsidR="0058563A"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>hypoglycemia.</w:t>
      </w:r>
    </w:p>
    <w:p w14:paraId="68799A80" w14:textId="28828BC9" w:rsidR="0058563A" w:rsidRPr="0058563A" w:rsidRDefault="003B5A28" w:rsidP="0058563A">
      <w:pPr>
        <w:numPr>
          <w:ilvl w:val="0"/>
          <w:numId w:val="5"/>
        </w:numPr>
        <w:shd w:val="clear" w:color="auto" w:fill="FFFFFF"/>
        <w:spacing w:after="0" w:line="360" w:lineRule="atLeast"/>
        <w:ind w:left="114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</w:rPr>
        <w:t>Semaglutide</w:t>
      </w:r>
      <w:r w:rsidR="000B3BB9" w:rsidRPr="000B3BB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 </w:t>
      </w:r>
      <w:r w:rsidR="000B3BB9"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>causes a delay of gastric emptying and has the potential to impact the absorption of concomitantly administered oral medications. Monitor the effects of oral medications concomitantly administered with Wegov</w:t>
      </w:r>
      <w:r w:rsidR="007D1224">
        <w:rPr>
          <w:rFonts w:ascii="Cambria" w:eastAsia="Times New Roman" w:hAnsi="Cambria" w:cs="Arial"/>
          <w:color w:val="000000" w:themeColor="text1"/>
          <w:sz w:val="24"/>
          <w:szCs w:val="24"/>
        </w:rPr>
        <w:t>y</w:t>
      </w:r>
      <w:r w:rsidR="0058563A">
        <w:rPr>
          <w:rFonts w:ascii="Cambria" w:eastAsia="Times New Roman" w:hAnsi="Cambria" w:cs="Arial"/>
          <w:color w:val="000000" w:themeColor="text1"/>
          <w:sz w:val="24"/>
          <w:szCs w:val="24"/>
        </w:rPr>
        <w:t>.</w:t>
      </w:r>
    </w:p>
    <w:p w14:paraId="5DBC19B7" w14:textId="77777777" w:rsidR="000B3BB9" w:rsidRPr="000B3BB9" w:rsidRDefault="000B3BB9" w:rsidP="000B3BB9">
      <w:pPr>
        <w:shd w:val="clear" w:color="auto" w:fill="FFFFFF"/>
        <w:spacing w:before="450" w:after="225" w:line="360" w:lineRule="atLeast"/>
        <w:outlineLvl w:val="1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bookmarkStart w:id="4" w:name="Wegovy-HCP-use-in-specific-populations"/>
      <w:bookmarkEnd w:id="4"/>
      <w:r w:rsidRPr="000B3BB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Use in Specific Populations</w:t>
      </w:r>
    </w:p>
    <w:p w14:paraId="52D056FC" w14:textId="3DAD00E9" w:rsidR="000B3BB9" w:rsidRDefault="000B3BB9" w:rsidP="0058563A">
      <w:pPr>
        <w:numPr>
          <w:ilvl w:val="0"/>
          <w:numId w:val="6"/>
        </w:numPr>
        <w:shd w:val="clear" w:color="auto" w:fill="FFFFFF"/>
        <w:spacing w:after="240" w:line="240" w:lineRule="auto"/>
        <w:ind w:left="114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0B3BB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Pregnancy: </w:t>
      </w:r>
      <w:r w:rsidR="0058563A">
        <w:rPr>
          <w:rFonts w:ascii="Cambria" w:eastAsia="Times New Roman" w:hAnsi="Cambria" w:cs="Arial"/>
          <w:color w:val="000000" w:themeColor="text1"/>
          <w:sz w:val="24"/>
          <w:szCs w:val="24"/>
        </w:rPr>
        <w:t>can</w:t>
      </w:r>
      <w:r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cause fetal harm.</w:t>
      </w:r>
      <w:r w:rsidR="005F654F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You need to be on contraception while on treatment.</w:t>
      </w:r>
      <w:r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When pregnancy is recognized, discontinue</w:t>
      </w:r>
      <w:r w:rsidR="00CD7F1B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</w:t>
      </w:r>
      <w:r w:rsidR="003B5A28">
        <w:rPr>
          <w:rFonts w:ascii="Cambria" w:eastAsia="Times New Roman" w:hAnsi="Cambria" w:cs="Arial"/>
          <w:color w:val="000000" w:themeColor="text1"/>
          <w:sz w:val="24"/>
          <w:szCs w:val="24"/>
        </w:rPr>
        <w:t>Semaglutide</w:t>
      </w:r>
      <w:r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>.</w:t>
      </w:r>
      <w:r w:rsidRPr="000B3BB9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 </w:t>
      </w:r>
      <w:r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Discontinue </w:t>
      </w:r>
      <w:r w:rsidR="003B5A28">
        <w:rPr>
          <w:rFonts w:ascii="Cambria" w:eastAsia="Times New Roman" w:hAnsi="Cambria" w:cs="Arial"/>
          <w:color w:val="000000" w:themeColor="text1"/>
          <w:sz w:val="24"/>
          <w:szCs w:val="24"/>
        </w:rPr>
        <w:t>Semaglutide</w:t>
      </w:r>
      <w:r w:rsidRPr="000B3BB9">
        <w:rPr>
          <w:rFonts w:ascii="Cambria" w:eastAsia="Times New Roman" w:hAnsi="Cambria" w:cs="Arial"/>
          <w:color w:val="000000" w:themeColor="text1"/>
          <w:sz w:val="24"/>
          <w:szCs w:val="24"/>
        </w:rPr>
        <w:t> in patients at least 2 months before a planned pregnancy</w:t>
      </w:r>
      <w:r w:rsidR="007D1224">
        <w:rPr>
          <w:rFonts w:ascii="Cambria" w:eastAsia="Times New Roman" w:hAnsi="Cambria" w:cs="Arial"/>
          <w:color w:val="000000" w:themeColor="text1"/>
          <w:sz w:val="24"/>
          <w:szCs w:val="24"/>
        </w:rPr>
        <w:t>.</w:t>
      </w:r>
    </w:p>
    <w:p w14:paraId="5530F4C7" w14:textId="06314CEF" w:rsidR="0004639A" w:rsidRDefault="0004639A" w:rsidP="0058563A">
      <w:pPr>
        <w:numPr>
          <w:ilvl w:val="0"/>
          <w:numId w:val="6"/>
        </w:numPr>
        <w:shd w:val="clear" w:color="auto" w:fill="FFFFFF"/>
        <w:spacing w:after="240" w:line="240" w:lineRule="auto"/>
        <w:ind w:left="1140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04639A">
        <w:rPr>
          <w:rFonts w:ascii="Cambria" w:eastAsia="Times New Roman" w:hAnsi="Cambria" w:cs="Arial"/>
          <w:color w:val="000000" w:themeColor="text1"/>
          <w:sz w:val="24"/>
          <w:szCs w:val="24"/>
        </w:rPr>
        <w:t>Has to stop the treatment 8 weeks prior to any surger</w:t>
      </w:r>
      <w:r>
        <w:rPr>
          <w:rFonts w:ascii="Cambria" w:eastAsia="Times New Roman" w:hAnsi="Cambria" w:cs="Arial"/>
          <w:color w:val="000000" w:themeColor="text1"/>
          <w:sz w:val="24"/>
          <w:szCs w:val="24"/>
        </w:rPr>
        <w:t>ies</w:t>
      </w: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.</w:t>
      </w:r>
    </w:p>
    <w:p w14:paraId="2B14DB5A" w14:textId="588ADC95" w:rsidR="00312468" w:rsidRDefault="00312468" w:rsidP="0058563A">
      <w:pPr>
        <w:shd w:val="clear" w:color="auto" w:fill="FFFFFF"/>
        <w:spacing w:before="100" w:beforeAutospacing="1" w:after="240" w:line="240" w:lineRule="auto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I have read </w:t>
      </w:r>
      <w:r w:rsidR="002A665E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and fully understand this consent form. I </w:t>
      </w: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understand the precautions and fully accept the risks. I hereby release </w:t>
      </w:r>
      <w:r w:rsidR="002A665E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River oaks</w:t>
      </w:r>
      <w:r w:rsidR="003B5A28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Beauty and Weight loss</w:t>
      </w: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/Bellaire Beauty Weight Loss Center and the physician/staff from all liabilities associated with this treatment plan.</w:t>
      </w:r>
    </w:p>
    <w:p w14:paraId="6FE73E39" w14:textId="15725C32" w:rsidR="00312468" w:rsidRDefault="00312468" w:rsidP="002A665E">
      <w:pPr>
        <w:shd w:val="clear" w:color="auto" w:fill="FFFFFF"/>
        <w:spacing w:after="0" w:line="360" w:lineRule="atLeast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________________________________________</w:t>
      </w:r>
      <w:r w:rsidR="002A665E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 xml:space="preserve">                               _____________________________________________</w:t>
      </w:r>
    </w:p>
    <w:p w14:paraId="2405F662" w14:textId="77777777" w:rsidR="002A665E" w:rsidRDefault="002A665E" w:rsidP="002A665E">
      <w:pPr>
        <w:shd w:val="clear" w:color="auto" w:fill="FFFFFF"/>
        <w:spacing w:after="0" w:line="360" w:lineRule="atLeast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Patient/Guardian Signature                                        Print Name</w:t>
      </w:r>
    </w:p>
    <w:p w14:paraId="70B039F4" w14:textId="77777777" w:rsidR="002A665E" w:rsidRDefault="002A665E" w:rsidP="002A665E">
      <w:pPr>
        <w:shd w:val="clear" w:color="auto" w:fill="FFFFFF"/>
        <w:spacing w:after="0" w:line="360" w:lineRule="atLeast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________________________________________                               _____________________________________________</w:t>
      </w:r>
    </w:p>
    <w:p w14:paraId="6AE3110E" w14:textId="67D54808" w:rsidR="00492B37" w:rsidRDefault="002A665E" w:rsidP="002A665E">
      <w:pPr>
        <w:shd w:val="clear" w:color="auto" w:fill="FFFFFF"/>
        <w:spacing w:after="0" w:line="360" w:lineRule="atLeast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Physician Signature                                                         Date</w:t>
      </w:r>
    </w:p>
    <w:p w14:paraId="2BA29767" w14:textId="77777777" w:rsidR="00C038F7" w:rsidRDefault="00C038F7" w:rsidP="002A665E">
      <w:pPr>
        <w:shd w:val="clear" w:color="auto" w:fill="FFFFFF"/>
        <w:spacing w:after="0" w:line="360" w:lineRule="atLeast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</w:p>
    <w:p w14:paraId="69D3F0FA" w14:textId="14FEECA5" w:rsidR="00350CF4" w:rsidRDefault="00350CF4" w:rsidP="00350CF4">
      <w:pPr>
        <w:shd w:val="clear" w:color="auto" w:fill="FFFFFF"/>
        <w:spacing w:after="0" w:line="360" w:lineRule="atLeast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________________________________________</w:t>
      </w:r>
    </w:p>
    <w:p w14:paraId="70B0BFDC" w14:textId="05B41D47" w:rsidR="0058563A" w:rsidRPr="002A665E" w:rsidRDefault="0058563A" w:rsidP="00350CF4">
      <w:pPr>
        <w:shd w:val="clear" w:color="auto" w:fill="FFFFFF"/>
        <w:spacing w:after="0" w:line="360" w:lineRule="atLeast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</w:rPr>
        <w:t>Witness</w:t>
      </w:r>
    </w:p>
    <w:sectPr w:rsidR="0058563A" w:rsidRPr="002A66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BAB3" w14:textId="77777777" w:rsidR="00765977" w:rsidRDefault="00765977" w:rsidP="008E1096">
      <w:pPr>
        <w:spacing w:after="0" w:line="240" w:lineRule="auto"/>
      </w:pPr>
      <w:r>
        <w:separator/>
      </w:r>
    </w:p>
  </w:endnote>
  <w:endnote w:type="continuationSeparator" w:id="0">
    <w:p w14:paraId="6539817E" w14:textId="77777777" w:rsidR="00765977" w:rsidRDefault="00765977" w:rsidP="008E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453A" w14:textId="77777777" w:rsidR="00765977" w:rsidRDefault="00765977" w:rsidP="008E1096">
      <w:pPr>
        <w:spacing w:after="0" w:line="240" w:lineRule="auto"/>
      </w:pPr>
      <w:r>
        <w:separator/>
      </w:r>
    </w:p>
  </w:footnote>
  <w:footnote w:type="continuationSeparator" w:id="0">
    <w:p w14:paraId="333435ED" w14:textId="77777777" w:rsidR="00765977" w:rsidRDefault="00765977" w:rsidP="008E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F4D" w14:textId="04884137" w:rsidR="008E1096" w:rsidRDefault="008E1096" w:rsidP="008E1096">
    <w:pPr>
      <w:jc w:val="center"/>
      <w:rPr>
        <w:rFonts w:ascii="Cambria" w:hAnsi="Cambria"/>
        <w:b/>
        <w:bCs/>
        <w:sz w:val="24"/>
        <w:szCs w:val="24"/>
        <w:u w:val="single"/>
      </w:rPr>
    </w:pPr>
    <w:r w:rsidRPr="000B3BB9">
      <w:rPr>
        <w:rFonts w:ascii="Cambria" w:hAnsi="Cambria"/>
        <w:b/>
        <w:bCs/>
        <w:sz w:val="24"/>
        <w:szCs w:val="24"/>
        <w:u w:val="single"/>
      </w:rPr>
      <w:t xml:space="preserve"> SEMAGLUTIDE INFORMED CONSENT</w:t>
    </w:r>
  </w:p>
  <w:p w14:paraId="54D057E0" w14:textId="77777777" w:rsidR="008E1096" w:rsidRPr="008E1096" w:rsidRDefault="008E1096" w:rsidP="008E1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632"/>
    <w:multiLevelType w:val="multilevel"/>
    <w:tmpl w:val="EBAA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03407"/>
    <w:multiLevelType w:val="multilevel"/>
    <w:tmpl w:val="401CC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D220E"/>
    <w:multiLevelType w:val="multilevel"/>
    <w:tmpl w:val="698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44DE9"/>
    <w:multiLevelType w:val="multilevel"/>
    <w:tmpl w:val="63C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87DD1"/>
    <w:multiLevelType w:val="multilevel"/>
    <w:tmpl w:val="FFCA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13C2B"/>
    <w:multiLevelType w:val="multilevel"/>
    <w:tmpl w:val="162C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8562899">
    <w:abstractNumId w:val="4"/>
  </w:num>
  <w:num w:numId="2" w16cid:durableId="752700210">
    <w:abstractNumId w:val="5"/>
  </w:num>
  <w:num w:numId="3" w16cid:durableId="2085569414">
    <w:abstractNumId w:val="1"/>
  </w:num>
  <w:num w:numId="4" w16cid:durableId="1015109467">
    <w:abstractNumId w:val="0"/>
  </w:num>
  <w:num w:numId="5" w16cid:durableId="40374702">
    <w:abstractNumId w:val="3"/>
  </w:num>
  <w:num w:numId="6" w16cid:durableId="1622807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BB9"/>
    <w:rsid w:val="0004639A"/>
    <w:rsid w:val="000B3BB9"/>
    <w:rsid w:val="00125C90"/>
    <w:rsid w:val="002A665E"/>
    <w:rsid w:val="00312468"/>
    <w:rsid w:val="00350CF4"/>
    <w:rsid w:val="003B5A28"/>
    <w:rsid w:val="00492B37"/>
    <w:rsid w:val="004A2EF3"/>
    <w:rsid w:val="005211FD"/>
    <w:rsid w:val="0058563A"/>
    <w:rsid w:val="005D6541"/>
    <w:rsid w:val="005F4408"/>
    <w:rsid w:val="005F654F"/>
    <w:rsid w:val="006114E7"/>
    <w:rsid w:val="00765977"/>
    <w:rsid w:val="007D1224"/>
    <w:rsid w:val="00885E94"/>
    <w:rsid w:val="008C1A82"/>
    <w:rsid w:val="008D41BF"/>
    <w:rsid w:val="008E1096"/>
    <w:rsid w:val="008E3448"/>
    <w:rsid w:val="0093601E"/>
    <w:rsid w:val="00986A27"/>
    <w:rsid w:val="00A067DE"/>
    <w:rsid w:val="00A134D5"/>
    <w:rsid w:val="00AD1E65"/>
    <w:rsid w:val="00C038F7"/>
    <w:rsid w:val="00C41B88"/>
    <w:rsid w:val="00CD7F1B"/>
    <w:rsid w:val="00D277F7"/>
    <w:rsid w:val="00F5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13F6"/>
  <w15:docId w15:val="{D2695310-080E-401F-8EB5-D1FFF4F6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3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3B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E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96"/>
  </w:style>
  <w:style w:type="paragraph" w:styleId="Footer">
    <w:name w:val="footer"/>
    <w:basedOn w:val="Normal"/>
    <w:link w:val="FooterChar"/>
    <w:uiPriority w:val="99"/>
    <w:unhideWhenUsed/>
    <w:rsid w:val="008E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saghy Motamedy</dc:creator>
  <cp:keywords/>
  <dc:description/>
  <cp:lastModifiedBy>saghy Motamedy</cp:lastModifiedBy>
  <cp:revision>11</cp:revision>
  <dcterms:created xsi:type="dcterms:W3CDTF">2022-04-12T18:54:00Z</dcterms:created>
  <dcterms:modified xsi:type="dcterms:W3CDTF">2023-07-13T18:42:00Z</dcterms:modified>
</cp:coreProperties>
</file>